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644A0" w14:textId="77777777" w:rsidR="00F34B63" w:rsidRPr="00991B0F" w:rsidRDefault="00102315" w:rsidP="00991B0F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91B0F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133644A1" w14:textId="3A2B80E4" w:rsidR="00F34B63" w:rsidRPr="00991B0F" w:rsidRDefault="00102315" w:rsidP="00991B0F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91B0F">
        <w:rPr>
          <w:rFonts w:asciiTheme="minorHAnsi" w:hAnsiTheme="minorHAnsi" w:cstheme="minorHAnsi"/>
          <w:b/>
          <w:noProof/>
          <w:sz w:val="20"/>
          <w:szCs w:val="20"/>
        </w:rPr>
        <w:t>9. TJEDAN: OD 2. 11. DO 4. 11. 2022.</w:t>
      </w:r>
      <w:r w:rsidR="000D15E6">
        <w:rPr>
          <w:rFonts w:asciiTheme="minorHAnsi" w:hAnsiTheme="minorHAnsi" w:cstheme="minorHAnsi"/>
          <w:b/>
          <w:noProof/>
          <w:sz w:val="20"/>
          <w:szCs w:val="20"/>
        </w:rPr>
        <w:t xml:space="preserve"> </w:t>
      </w:r>
      <w:r w:rsidR="00C36198" w:rsidRPr="00260C95">
        <w:rPr>
          <w:noProof/>
          <w:color w:val="FF0000"/>
          <w:sz w:val="20"/>
          <w:szCs w:val="20"/>
        </w:rPr>
        <w:t>(31. 10. i 1. 11. 2022. – jesenski praznici)</w:t>
      </w:r>
    </w:p>
    <w:p w14:paraId="133644A2" w14:textId="77777777" w:rsidR="00F34B63" w:rsidRPr="00991B0F" w:rsidRDefault="00102315" w:rsidP="00991B0F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991B0F">
        <w:rPr>
          <w:rFonts w:asciiTheme="minorHAnsi" w:hAnsiTheme="minorHAnsi" w:cstheme="minorHAnsi"/>
          <w:b/>
          <w:noProof/>
          <w:sz w:val="20"/>
          <w:szCs w:val="20"/>
        </w:rPr>
        <w:t xml:space="preserve">TEMA TJEDNA </w:t>
      </w:r>
      <w:r w:rsidRPr="00991B0F">
        <w:rPr>
          <w:rFonts w:asciiTheme="minorHAnsi" w:hAnsiTheme="minorHAnsi" w:cstheme="minorHAnsi"/>
          <w:noProof/>
          <w:sz w:val="20"/>
          <w:szCs w:val="20"/>
        </w:rPr>
        <w:t>–</w:t>
      </w:r>
      <w:r w:rsidRPr="00991B0F">
        <w:rPr>
          <w:rFonts w:asciiTheme="minorHAnsi" w:hAnsiTheme="minorHAnsi" w:cstheme="minorHAnsi"/>
          <w:b/>
          <w:noProof/>
          <w:sz w:val="20"/>
          <w:szCs w:val="20"/>
        </w:rPr>
        <w:t xml:space="preserve"> </w:t>
      </w:r>
      <w:r w:rsidRPr="00991B0F">
        <w:rPr>
          <w:rFonts w:asciiTheme="minorHAnsi" w:hAnsiTheme="minorHAnsi" w:cstheme="minorHAnsi"/>
          <w:noProof/>
          <w:sz w:val="20"/>
          <w:szCs w:val="20"/>
        </w:rPr>
        <w:t>Prostor oko mene</w:t>
      </w:r>
    </w:p>
    <w:p w14:paraId="133644A3" w14:textId="77777777" w:rsidR="00F34B63" w:rsidRPr="00991B0F" w:rsidRDefault="00F34B63" w:rsidP="00991B0F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133644A4" w14:textId="77777777" w:rsidR="00F34B63" w:rsidRPr="00991B0F" w:rsidRDefault="00102315" w:rsidP="00991B0F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bookmarkStart w:id="0" w:name="_heading=h.gjdgxs" w:colFirst="0" w:colLast="0"/>
      <w:bookmarkEnd w:id="0"/>
      <w:r w:rsidRPr="00991B0F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6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948"/>
        <w:gridCol w:w="1843"/>
        <w:gridCol w:w="4677"/>
        <w:gridCol w:w="1695"/>
      </w:tblGrid>
      <w:tr w:rsidR="00F34B63" w:rsidRPr="00991B0F" w14:paraId="133644AA" w14:textId="77777777" w:rsidTr="002B019D">
        <w:tc>
          <w:tcPr>
            <w:tcW w:w="465" w:type="dxa"/>
            <w:shd w:val="clear" w:color="auto" w:fill="FFE599"/>
          </w:tcPr>
          <w:p w14:paraId="133644A5" w14:textId="77777777" w:rsidR="00F34B63" w:rsidRPr="00991B0F" w:rsidRDefault="00F34B63" w:rsidP="00991B0F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8" w:type="dxa"/>
            <w:shd w:val="clear" w:color="auto" w:fill="FFE599"/>
          </w:tcPr>
          <w:p w14:paraId="133644A6" w14:textId="77777777" w:rsidR="00F34B63" w:rsidRPr="00991B0F" w:rsidRDefault="00102315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133644A7" w14:textId="5F5FBB11" w:rsidR="00F34B63" w:rsidRPr="00991B0F" w:rsidRDefault="00102315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677" w:type="dxa"/>
            <w:shd w:val="clear" w:color="auto" w:fill="FFE599"/>
          </w:tcPr>
          <w:p w14:paraId="133644A8" w14:textId="77777777" w:rsidR="00F34B63" w:rsidRPr="00991B0F" w:rsidRDefault="00102315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695" w:type="dxa"/>
            <w:shd w:val="clear" w:color="auto" w:fill="FFE599"/>
          </w:tcPr>
          <w:p w14:paraId="133644A9" w14:textId="77777777" w:rsidR="00F34B63" w:rsidRPr="00991B0F" w:rsidRDefault="00102315" w:rsidP="00991B0F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F34B63" w:rsidRPr="00991B0F" w14:paraId="133644BB" w14:textId="77777777" w:rsidTr="002B019D">
        <w:tc>
          <w:tcPr>
            <w:tcW w:w="465" w:type="dxa"/>
          </w:tcPr>
          <w:p w14:paraId="133644AB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41.</w:t>
            </w:r>
          </w:p>
        </w:tc>
        <w:tc>
          <w:tcPr>
            <w:tcW w:w="948" w:type="dxa"/>
          </w:tcPr>
          <w:p w14:paraId="133644AC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133644AD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3644AF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133644B0" w14:textId="24475760" w:rsidR="00F34B63" w:rsidRPr="005A6793" w:rsidRDefault="00102315" w:rsidP="00991B0F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5A67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Veliko početno slovo</w:t>
            </w:r>
          </w:p>
          <w:p w14:paraId="133644B1" w14:textId="77777777" w:rsidR="00F34B63" w:rsidRPr="005A6793" w:rsidRDefault="00102315" w:rsidP="00991B0F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5A67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(vode, gore)</w:t>
            </w:r>
          </w:p>
          <w:p w14:paraId="0024F13D" w14:textId="736619C9" w:rsidR="00991B0F" w:rsidRPr="00991B0F" w:rsidRDefault="00991B0F" w:rsidP="0023591E">
            <w:pPr>
              <w:spacing w:line="360" w:lineRule="auto"/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"https://www.profil-klett.hr/sites/default/files/metodicki-kutak/41._veliko_pocetno_slovo_vode_gore.docx"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Pr="00991B0F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422760CB" w14:textId="3D4F1A42" w:rsidR="005A6793" w:rsidRPr="0057659F" w:rsidRDefault="00991B0F" w:rsidP="0057659F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5" w:history="1">
              <w:r w:rsidR="005A6793" w:rsidRPr="005A679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33644B2" w14:textId="7B9C96B0" w:rsidR="00F34B63" w:rsidRPr="00991B0F" w:rsidRDefault="005A6793" w:rsidP="00991B0F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84 i 85</w:t>
            </w:r>
          </w:p>
        </w:tc>
        <w:tc>
          <w:tcPr>
            <w:tcW w:w="4677" w:type="dxa"/>
          </w:tcPr>
          <w:p w14:paraId="133644B3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OŠ HJ A.3.1. Učenik razgovara i govori tekstove jednostavne kompozicijske strukture.</w:t>
            </w:r>
          </w:p>
          <w:p w14:paraId="133644B4" w14:textId="41BB8CE0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sluša tekst i prepričava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sadržaj poslušanoga teksta.</w:t>
            </w:r>
          </w:p>
          <w:p w14:paraId="133644B5" w14:textId="5AC0096E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tekst i pronalazi važne podatke u tekstu.</w:t>
            </w:r>
          </w:p>
          <w:p w14:paraId="133644B6" w14:textId="016B0A31" w:rsidR="00F34B63" w:rsidRPr="00991B0F" w:rsidRDefault="00102315" w:rsidP="00991B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</w:tc>
        <w:tc>
          <w:tcPr>
            <w:tcW w:w="1695" w:type="dxa"/>
          </w:tcPr>
          <w:p w14:paraId="133644B7" w14:textId="67C35236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33644B8" w14:textId="7E87A8E1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3</w:t>
            </w:r>
          </w:p>
          <w:p w14:paraId="133644B9" w14:textId="3AB376B8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33644BA" w14:textId="04AD8BA0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B.3.4.</w:t>
            </w:r>
          </w:p>
        </w:tc>
      </w:tr>
      <w:tr w:rsidR="00F34B63" w:rsidRPr="00991B0F" w14:paraId="133644CE" w14:textId="77777777" w:rsidTr="002B019D">
        <w:tc>
          <w:tcPr>
            <w:tcW w:w="465" w:type="dxa"/>
          </w:tcPr>
          <w:p w14:paraId="133644BC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42.</w:t>
            </w:r>
          </w:p>
        </w:tc>
        <w:tc>
          <w:tcPr>
            <w:tcW w:w="948" w:type="dxa"/>
          </w:tcPr>
          <w:p w14:paraId="133644BD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133644BE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3644C0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133644C1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Priča</w:t>
            </w:r>
          </w:p>
          <w:p w14:paraId="133644C2" w14:textId="77777777" w:rsidR="00F34B63" w:rsidRPr="005A6793" w:rsidRDefault="00102315" w:rsidP="00991B0F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5A67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Ah, ta matematika</w:t>
            </w:r>
          </w:p>
          <w:p w14:paraId="331F40B9" w14:textId="78077425" w:rsidR="00991B0F" w:rsidRPr="00991B0F" w:rsidRDefault="00991B0F" w:rsidP="0023591E">
            <w:pPr>
              <w:spacing w:line="360" w:lineRule="auto"/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"https://www.profil-klett.hr/sites/default/files/metodicki-kutak/42._ah_ta_matematika.docx"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Pr="00991B0F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423873C3" w14:textId="58E5FEA5" w:rsidR="0023591E" w:rsidRDefault="00991B0F" w:rsidP="0057659F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6" w:anchor="block-366399" w:history="1">
              <w:r w:rsidR="0023591E" w:rsidRPr="0023591E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133644C3" w14:textId="5535F17A" w:rsidR="0023591E" w:rsidRPr="00991B0F" w:rsidRDefault="0023591E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86 i 87</w:t>
            </w:r>
          </w:p>
        </w:tc>
        <w:tc>
          <w:tcPr>
            <w:tcW w:w="4677" w:type="dxa"/>
          </w:tcPr>
          <w:p w14:paraId="133644C4" w14:textId="29F2E140" w:rsidR="00F34B63" w:rsidRPr="00991B0F" w:rsidRDefault="00102315" w:rsidP="00991B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133644C5" w14:textId="62BEF9B0" w:rsidR="00F34B63" w:rsidRPr="00991B0F" w:rsidRDefault="00102315" w:rsidP="00991B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A.3.2.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sluša tekst i prepričava sadržaj poslušanoga teksta.</w:t>
            </w:r>
          </w:p>
          <w:p w14:paraId="133644C6" w14:textId="0D33E3C7" w:rsidR="00F34B63" w:rsidRPr="00991B0F" w:rsidRDefault="00102315" w:rsidP="00991B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A.3.3.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važne podatke u tekstu.</w:t>
            </w:r>
          </w:p>
          <w:p w14:paraId="133644C7" w14:textId="69971F9A" w:rsidR="00F34B63" w:rsidRPr="00991B0F" w:rsidRDefault="00102315" w:rsidP="00991B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stove u skladu s temom.</w:t>
            </w:r>
          </w:p>
          <w:p w14:paraId="133644C8" w14:textId="637714ED" w:rsidR="00F34B63" w:rsidRPr="00991B0F" w:rsidRDefault="00102315" w:rsidP="00991B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B.3.1.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133644C9" w14:textId="1C136703" w:rsidR="00F34B63" w:rsidRPr="00991B0F" w:rsidRDefault="00102315" w:rsidP="00991B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B.3.2.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čita književni tekst i pronalazi važne podatke u tekstu.</w:t>
            </w:r>
          </w:p>
          <w:p w14:paraId="133644CA" w14:textId="686BCF9E" w:rsidR="00F34B63" w:rsidRPr="00991B0F" w:rsidRDefault="00102315" w:rsidP="00991B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B.3.4.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potaknut različitim iskustvima i doživljajima književnoga teksta.</w:t>
            </w:r>
          </w:p>
        </w:tc>
        <w:tc>
          <w:tcPr>
            <w:tcW w:w="1695" w:type="dxa"/>
          </w:tcPr>
          <w:p w14:paraId="133644CB" w14:textId="260B296C" w:rsidR="00F34B63" w:rsidRPr="00991B0F" w:rsidRDefault="00102315" w:rsidP="00991B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33644CC" w14:textId="7D17FF60" w:rsidR="00F34B63" w:rsidRPr="00991B0F" w:rsidRDefault="00102315" w:rsidP="00991B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33644CD" w14:textId="00C2FCEC" w:rsidR="00F34B63" w:rsidRPr="00991B0F" w:rsidRDefault="00102315" w:rsidP="00991B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</w:p>
        </w:tc>
      </w:tr>
      <w:tr w:rsidR="00F34B63" w:rsidRPr="00991B0F" w14:paraId="133644DE" w14:textId="77777777" w:rsidTr="002B019D">
        <w:tc>
          <w:tcPr>
            <w:tcW w:w="465" w:type="dxa"/>
          </w:tcPr>
          <w:p w14:paraId="133644CF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43.</w:t>
            </w:r>
          </w:p>
        </w:tc>
        <w:tc>
          <w:tcPr>
            <w:tcW w:w="948" w:type="dxa"/>
          </w:tcPr>
          <w:p w14:paraId="133644D0" w14:textId="77777777" w:rsidR="00F34B63" w:rsidRPr="00991B0F" w:rsidRDefault="00102315" w:rsidP="00991B0F">
            <w:pPr>
              <w:spacing w:after="200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HJIK</w:t>
            </w:r>
          </w:p>
          <w:p w14:paraId="133644D1" w14:textId="77777777" w:rsidR="00F34B63" w:rsidRPr="00991B0F" w:rsidRDefault="00F34B63" w:rsidP="00991B0F">
            <w:pPr>
              <w:spacing w:after="200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</w:p>
          <w:p w14:paraId="133644D3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133644D4" w14:textId="4103D8C2" w:rsidR="00F34B63" w:rsidRPr="005A6793" w:rsidRDefault="00102315" w:rsidP="00991B0F">
            <w:pPr>
              <w:rPr>
                <w:rFonts w:asciiTheme="minorHAnsi" w:eastAsia="Calibri" w:hAnsiTheme="minorHAnsi" w:cstheme="minorHAnsi"/>
                <w:b/>
                <w:bCs/>
                <w:noProof/>
                <w:sz w:val="16"/>
                <w:szCs w:val="16"/>
              </w:rPr>
            </w:pPr>
            <w:r w:rsidRPr="005A6793">
              <w:rPr>
                <w:rFonts w:asciiTheme="minorHAnsi" w:eastAsia="Calibri" w:hAnsiTheme="minorHAnsi" w:cstheme="minorHAnsi"/>
                <w:b/>
                <w:bCs/>
                <w:noProof/>
                <w:sz w:val="16"/>
                <w:szCs w:val="16"/>
              </w:rPr>
              <w:t>Razmišljam i pišem sve što znam</w:t>
            </w:r>
          </w:p>
          <w:p w14:paraId="3CF507CE" w14:textId="2D76760B" w:rsidR="00991B0F" w:rsidRPr="0057659F" w:rsidRDefault="00102315" w:rsidP="00991B0F">
            <w:pPr>
              <w:rPr>
                <w:rFonts w:asciiTheme="minorHAnsi" w:eastAsia="Calibri" w:hAnsiTheme="minorHAnsi" w:cstheme="minorHAnsi"/>
                <w:i/>
                <w:noProof/>
                <w:color w:val="0563C1"/>
                <w:sz w:val="16"/>
                <w:szCs w:val="16"/>
                <w:u w:val="single"/>
              </w:rPr>
            </w:pPr>
            <w:hyperlink r:id="rId7" w:history="1">
              <w:r w:rsidR="00991B0F" w:rsidRPr="00360629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4B9F6511" w14:textId="0A66F43C" w:rsidR="00991B0F" w:rsidRDefault="00991B0F" w:rsidP="0057659F">
            <w:pP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133644D5" w14:textId="395A604F" w:rsidR="00F34B63" w:rsidRPr="0023591E" w:rsidRDefault="0023591E" w:rsidP="0057659F">
            <w:pP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86 i 87</w:t>
            </w:r>
          </w:p>
        </w:tc>
        <w:tc>
          <w:tcPr>
            <w:tcW w:w="4677" w:type="dxa"/>
          </w:tcPr>
          <w:p w14:paraId="133644D6" w14:textId="19BBEFE0" w:rsidR="00F34B63" w:rsidRPr="00991B0F" w:rsidRDefault="00102315" w:rsidP="00991B0F">
            <w:pPr>
              <w:widowControl w:val="0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OŠ HJ </w:t>
            </w:r>
            <w:r w:rsidR="00991B0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A.3.1.</w:t>
            </w:r>
            <w:r w:rsidRPr="00991B0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Učenik razgovara i govori tekstove jednostavne strukture.</w:t>
            </w:r>
            <w:r w:rsidRPr="00991B0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ab/>
            </w:r>
          </w:p>
          <w:p w14:paraId="133644D7" w14:textId="548EEDA4" w:rsidR="00F34B63" w:rsidRPr="00991B0F" w:rsidRDefault="00102315" w:rsidP="00991B0F">
            <w:pPr>
              <w:widowControl w:val="0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OŠ HJ </w:t>
            </w:r>
            <w:r w:rsidR="00991B0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A.3.3.</w:t>
            </w:r>
            <w:r w:rsidRPr="00991B0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Učenik čita tekst i pronalazi važne podatke u tekstu.</w:t>
            </w:r>
          </w:p>
          <w:p w14:paraId="133644D8" w14:textId="6D83924A" w:rsidR="00F34B63" w:rsidRPr="00991B0F" w:rsidRDefault="00102315" w:rsidP="00991B0F">
            <w:pPr>
              <w:widowControl w:val="0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OŠ HJ </w:t>
            </w:r>
            <w:r w:rsidR="00991B0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A.3.4.</w:t>
            </w:r>
            <w:r w:rsidRPr="00991B0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Učenik piše vođenim pisanjem jednostavne tekstove u skladu s temom.</w:t>
            </w:r>
          </w:p>
          <w:p w14:paraId="133644D9" w14:textId="4ADCCCBF" w:rsidR="00F34B63" w:rsidRPr="00991B0F" w:rsidRDefault="00102315" w:rsidP="00991B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OŠ HJ </w:t>
            </w:r>
            <w:r w:rsidR="00991B0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A.3.5.</w:t>
            </w:r>
            <w:r w:rsidRPr="00991B0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Učenik oblikuje tekst služeći se im</w:t>
            </w:r>
            <w:r w:rsidRPr="00991B0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enicama, glagolima i pridjevima, uvažavajući gramatička i pravopisna pravila.</w:t>
            </w:r>
          </w:p>
        </w:tc>
        <w:tc>
          <w:tcPr>
            <w:tcW w:w="1695" w:type="dxa"/>
          </w:tcPr>
          <w:p w14:paraId="133644DA" w14:textId="76B8038C" w:rsidR="00F34B63" w:rsidRPr="00991B0F" w:rsidRDefault="00102315" w:rsidP="00991B0F">
            <w:pPr>
              <w:widowControl w:val="0"/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991B0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991B0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91B0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991B0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91B0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991B0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33644DB" w14:textId="1D7FE1FF" w:rsidR="00F34B63" w:rsidRPr="00991B0F" w:rsidRDefault="00102315" w:rsidP="00991B0F">
            <w:pPr>
              <w:widowControl w:val="0"/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991B0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991B0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91B0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991B0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91B0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991B0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33644DC" w14:textId="1069BF59" w:rsidR="00F34B63" w:rsidRPr="00991B0F" w:rsidRDefault="00102315" w:rsidP="00991B0F">
            <w:pPr>
              <w:widowControl w:val="0"/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991B0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991B0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33644DD" w14:textId="10893AD1" w:rsidR="00F34B63" w:rsidRPr="00991B0F" w:rsidRDefault="00102315" w:rsidP="00991B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991B0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B.3.4.</w:t>
            </w:r>
          </w:p>
        </w:tc>
      </w:tr>
    </w:tbl>
    <w:p w14:paraId="133644E0" w14:textId="77777777" w:rsidR="00F34B63" w:rsidRPr="00991B0F" w:rsidRDefault="00F34B63" w:rsidP="00991B0F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133644E1" w14:textId="77777777" w:rsidR="00F34B63" w:rsidRPr="00991B0F" w:rsidRDefault="00102315" w:rsidP="00991B0F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91B0F">
        <w:rPr>
          <w:rFonts w:asciiTheme="minorHAnsi" w:hAnsiTheme="minorHAnsi" w:cstheme="minorHAnsi"/>
          <w:b/>
          <w:noProof/>
          <w:sz w:val="20"/>
          <w:szCs w:val="20"/>
        </w:rPr>
        <w:t>Matematika</w:t>
      </w:r>
    </w:p>
    <w:tbl>
      <w:tblPr>
        <w:tblStyle w:val="a7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986"/>
        <w:gridCol w:w="1843"/>
        <w:gridCol w:w="4819"/>
        <w:gridCol w:w="1553"/>
      </w:tblGrid>
      <w:tr w:rsidR="00F34B63" w:rsidRPr="00991B0F" w14:paraId="133644E7" w14:textId="77777777" w:rsidTr="008967D9">
        <w:tc>
          <w:tcPr>
            <w:tcW w:w="427" w:type="dxa"/>
            <w:shd w:val="clear" w:color="auto" w:fill="FFE599"/>
          </w:tcPr>
          <w:p w14:paraId="133644E2" w14:textId="77777777" w:rsidR="00F34B63" w:rsidRPr="00991B0F" w:rsidRDefault="00F34B63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6" w:type="dxa"/>
            <w:shd w:val="clear" w:color="auto" w:fill="FFE599"/>
          </w:tcPr>
          <w:p w14:paraId="133644E3" w14:textId="77777777" w:rsidR="00F34B63" w:rsidRPr="00991B0F" w:rsidRDefault="00102315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133644E4" w14:textId="76986C3D" w:rsidR="00F34B63" w:rsidRPr="00991B0F" w:rsidRDefault="00102315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819" w:type="dxa"/>
            <w:shd w:val="clear" w:color="auto" w:fill="FFE599"/>
          </w:tcPr>
          <w:p w14:paraId="133644E5" w14:textId="77777777" w:rsidR="00F34B63" w:rsidRPr="00991B0F" w:rsidRDefault="00102315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3" w:type="dxa"/>
            <w:shd w:val="clear" w:color="auto" w:fill="FFE599"/>
          </w:tcPr>
          <w:p w14:paraId="133644E6" w14:textId="77777777" w:rsidR="00F34B63" w:rsidRPr="00991B0F" w:rsidRDefault="00102315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F34B63" w:rsidRPr="00991B0F" w14:paraId="133644FC" w14:textId="77777777" w:rsidTr="008967D9">
        <w:tc>
          <w:tcPr>
            <w:tcW w:w="427" w:type="dxa"/>
          </w:tcPr>
          <w:p w14:paraId="133644E8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33.</w:t>
            </w:r>
          </w:p>
        </w:tc>
        <w:tc>
          <w:tcPr>
            <w:tcW w:w="986" w:type="dxa"/>
          </w:tcPr>
          <w:p w14:paraId="133644E9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133644EA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3644EB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3644ED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133644EE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Zbrajanje i oduzimanje 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troznamenkastoga i jednoznamenkastoga broja PIV</w:t>
            </w:r>
          </w:p>
          <w:p w14:paraId="1F57EF4C" w14:textId="77777777" w:rsidR="00991B0F" w:rsidRPr="00991B0F" w:rsidRDefault="00102315" w:rsidP="00CA6519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8">
              <w:r w:rsidR="00991B0F" w:rsidRPr="00991B0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8B6B84E" w14:textId="77777777" w:rsidR="00CA6519" w:rsidRPr="00A7268C" w:rsidRDefault="00CA6519" w:rsidP="00CA6519">
            <w:pPr>
              <w:spacing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begin"/>
            </w:r>
            <w:r>
              <w:rPr>
                <w:rStyle w:val="Hyperlink"/>
                <w:sz w:val="16"/>
                <w:szCs w:val="16"/>
              </w:rPr>
              <w:instrText xml:space="preserve"> HYPERLINK "https://hr.izzi.digital/DOS/14176/13528.html" </w:instrText>
            </w:r>
            <w:r>
              <w:rPr>
                <w:rStyle w:val="Hyperlink"/>
                <w:sz w:val="16"/>
                <w:szCs w:val="16"/>
              </w:rPr>
              <w:fldChar w:fldCharType="separate"/>
            </w:r>
            <w:r w:rsidRPr="00A7268C">
              <w:rPr>
                <w:rStyle w:val="Hyperlink"/>
                <w:sz w:val="16"/>
                <w:szCs w:val="16"/>
              </w:rPr>
              <w:t>DOS - zbrajanje</w:t>
            </w:r>
          </w:p>
          <w:p w14:paraId="3ACE40C8" w14:textId="0BF175AF" w:rsidR="00CA6519" w:rsidRPr="00102315" w:rsidRDefault="00CA6519" w:rsidP="008967D9">
            <w:pPr>
              <w:spacing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end"/>
            </w:r>
            <w:r w:rsidR="00102315">
              <w:rPr>
                <w:sz w:val="16"/>
                <w:szCs w:val="16"/>
              </w:rPr>
              <w:fldChar w:fldCharType="begin"/>
            </w:r>
            <w:r w:rsidR="00102315">
              <w:rPr>
                <w:sz w:val="16"/>
                <w:szCs w:val="16"/>
              </w:rPr>
              <w:instrText xml:space="preserve"> HYPERLINK "https://hr.izzi.digital/DOS/14176/13529.html" </w:instrText>
            </w:r>
            <w:r w:rsidR="00102315">
              <w:rPr>
                <w:sz w:val="16"/>
                <w:szCs w:val="16"/>
              </w:rPr>
            </w:r>
            <w:r w:rsidR="00102315">
              <w:rPr>
                <w:sz w:val="16"/>
                <w:szCs w:val="16"/>
              </w:rPr>
              <w:fldChar w:fldCharType="separate"/>
            </w:r>
            <w:r w:rsidRPr="00102315">
              <w:rPr>
                <w:rStyle w:val="Hyperlink"/>
                <w:sz w:val="16"/>
                <w:szCs w:val="16"/>
              </w:rPr>
              <w:t>DOS - oduzimanje</w:t>
            </w:r>
          </w:p>
          <w:p w14:paraId="133644F0" w14:textId="74625292" w:rsidR="00F34B63" w:rsidRPr="008967D9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end"/>
            </w:r>
            <w:r w:rsidR="00CA6519">
              <w:rPr>
                <w:rFonts w:cstheme="minorHAnsi"/>
                <w:noProof/>
                <w:sz w:val="16"/>
                <w:szCs w:val="16"/>
              </w:rPr>
              <w:t>Nina i Tino 3 - zbirka zadataka str. 43, 44 i 45</w:t>
            </w:r>
          </w:p>
        </w:tc>
        <w:tc>
          <w:tcPr>
            <w:tcW w:w="4819" w:type="dxa"/>
          </w:tcPr>
          <w:p w14:paraId="133644F1" w14:textId="224327C3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133644F2" w14:textId="1DA58D61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133644F3" w14:textId="0C92FF86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A.3.5.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133644F4" w14:textId="46088E49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B.3.1.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članom koristeći se slovom kao oznakom za broj.</w:t>
            </w:r>
          </w:p>
          <w:p w14:paraId="133644F5" w14:textId="3D115B05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E.3.1.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553" w:type="dxa"/>
          </w:tcPr>
          <w:p w14:paraId="133644F6" w14:textId="79D75505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C.3.1.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33644F7" w14:textId="075C5A35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A.3.3.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33644F8" w14:textId="12972804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A.2.3.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A.2.4.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B.2.4.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C.2.2.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C.2.3.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C.2.4.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D.2.2.</w:t>
            </w:r>
          </w:p>
          <w:p w14:paraId="133644F9" w14:textId="47CFA9EE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</w:p>
          <w:p w14:paraId="133644FB" w14:textId="0734E4B8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A.2.4.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B.2.4.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</w:tr>
      <w:tr w:rsidR="00F34B63" w:rsidRPr="00991B0F" w14:paraId="1336450D" w14:textId="77777777" w:rsidTr="008967D9">
        <w:tc>
          <w:tcPr>
            <w:tcW w:w="427" w:type="dxa"/>
          </w:tcPr>
          <w:p w14:paraId="133644FD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34.</w:t>
            </w:r>
          </w:p>
        </w:tc>
        <w:tc>
          <w:tcPr>
            <w:tcW w:w="986" w:type="dxa"/>
          </w:tcPr>
          <w:p w14:paraId="133644FE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133644FF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  <w:p w14:paraId="13364501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13364502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Pisana provjera znanja: Zbrajanje i oduzimanje troznamenkastoga i jednoznamenkastoga broja</w:t>
            </w:r>
          </w:p>
          <w:p w14:paraId="225341E3" w14:textId="31C67B92" w:rsidR="00991B0F" w:rsidRPr="00991B0F" w:rsidRDefault="00991B0F" w:rsidP="00102315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"https://www.profil-klett.hr/sites/default/files/metodicki-kutak/34_priprema_pisana_provjera.doc"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Pr="00991B0F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13364504" w14:textId="39B80704" w:rsidR="00F34B63" w:rsidRPr="00991B0F" w:rsidRDefault="00991B0F" w:rsidP="00102315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9" w:history="1">
              <w:r w:rsidR="002034C0" w:rsidRPr="002034C0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4819" w:type="dxa"/>
          </w:tcPr>
          <w:p w14:paraId="13364505" w14:textId="04CC8AFA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13364506" w14:textId="34B5E060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13364507" w14:textId="018BEED5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A.3.5.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13364508" w14:textId="2CBCBDA0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B.3.1.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13364509" w14:textId="67A9B7E7" w:rsidR="00F34B63" w:rsidRPr="00991B0F" w:rsidRDefault="00102315" w:rsidP="00991B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E.3.1.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553" w:type="dxa"/>
          </w:tcPr>
          <w:p w14:paraId="1336450A" w14:textId="1A9B6299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</w:p>
          <w:p w14:paraId="1336450B" w14:textId="2F402031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</w:p>
          <w:p w14:paraId="1336450C" w14:textId="2CC2F73F" w:rsidR="00F34B63" w:rsidRPr="00991B0F" w:rsidRDefault="00102315" w:rsidP="00991B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</w:tc>
      </w:tr>
      <w:tr w:rsidR="00F34B63" w:rsidRPr="00991B0F" w14:paraId="1336451E" w14:textId="77777777" w:rsidTr="008967D9">
        <w:tc>
          <w:tcPr>
            <w:tcW w:w="427" w:type="dxa"/>
          </w:tcPr>
          <w:p w14:paraId="1336450E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35.</w:t>
            </w:r>
          </w:p>
        </w:tc>
        <w:tc>
          <w:tcPr>
            <w:tcW w:w="986" w:type="dxa"/>
          </w:tcPr>
          <w:p w14:paraId="1336450F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13364510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364512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13364513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Analiza pisane provjere znanja</w:t>
            </w:r>
          </w:p>
          <w:p w14:paraId="4631385F" w14:textId="77777777" w:rsidR="00991B0F" w:rsidRPr="00991B0F" w:rsidRDefault="00102315" w:rsidP="008967D9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0">
              <w:r w:rsidR="00991B0F" w:rsidRPr="00991B0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143AD78" w14:textId="77777777" w:rsidR="008967D9" w:rsidRPr="00991B0F" w:rsidRDefault="00102315" w:rsidP="008967D9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1" w:history="1">
              <w:r w:rsidR="008967D9" w:rsidRPr="002034C0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  <w:p w14:paraId="13364515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819" w:type="dxa"/>
          </w:tcPr>
          <w:p w14:paraId="13364516" w14:textId="44562125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13364517" w14:textId="44CF106F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13364518" w14:textId="41DCD0B3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A.3.5.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unskih operacija.</w:t>
            </w:r>
          </w:p>
          <w:p w14:paraId="13364519" w14:textId="06824FB2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B.3.1.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1336451A" w14:textId="14FABE75" w:rsidR="00F34B63" w:rsidRPr="00991B0F" w:rsidRDefault="00102315" w:rsidP="00991B0F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E.3.1.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553" w:type="dxa"/>
          </w:tcPr>
          <w:p w14:paraId="1336451B" w14:textId="7BF56C76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</w:p>
          <w:p w14:paraId="1336451C" w14:textId="4654363D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</w:p>
          <w:p w14:paraId="1336451D" w14:textId="1E73305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</w:tr>
    </w:tbl>
    <w:p w14:paraId="1336451F" w14:textId="48D4961A" w:rsidR="00F34B63" w:rsidRDefault="00F34B63" w:rsidP="00991B0F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1E8F2D2D" w14:textId="77777777" w:rsidR="0057659F" w:rsidRPr="00991B0F" w:rsidRDefault="0057659F" w:rsidP="00991B0F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13364520" w14:textId="77777777" w:rsidR="00F34B63" w:rsidRPr="00991B0F" w:rsidRDefault="00102315" w:rsidP="00991B0F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91B0F">
        <w:rPr>
          <w:rFonts w:asciiTheme="minorHAnsi" w:hAnsiTheme="minorHAnsi" w:cstheme="minorHAnsi"/>
          <w:b/>
          <w:noProof/>
          <w:sz w:val="20"/>
          <w:szCs w:val="20"/>
        </w:rPr>
        <w:t xml:space="preserve">Priroda i </w:t>
      </w:r>
      <w:r w:rsidRPr="00991B0F">
        <w:rPr>
          <w:rFonts w:asciiTheme="minorHAnsi" w:hAnsiTheme="minorHAnsi" w:cstheme="minorHAnsi"/>
          <w:b/>
          <w:noProof/>
          <w:sz w:val="20"/>
          <w:szCs w:val="20"/>
        </w:rPr>
        <w:t>društvo</w:t>
      </w:r>
    </w:p>
    <w:tbl>
      <w:tblPr>
        <w:tblStyle w:val="a9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9"/>
        <w:gridCol w:w="984"/>
        <w:gridCol w:w="2551"/>
        <w:gridCol w:w="4111"/>
        <w:gridCol w:w="1553"/>
      </w:tblGrid>
      <w:tr w:rsidR="00F34B63" w:rsidRPr="00991B0F" w14:paraId="13364526" w14:textId="77777777" w:rsidTr="00B80CDB">
        <w:tc>
          <w:tcPr>
            <w:tcW w:w="429" w:type="dxa"/>
            <w:shd w:val="clear" w:color="auto" w:fill="FFE599"/>
          </w:tcPr>
          <w:p w14:paraId="13364521" w14:textId="77777777" w:rsidR="00F34B63" w:rsidRPr="00991B0F" w:rsidRDefault="00F34B63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4" w:type="dxa"/>
            <w:shd w:val="clear" w:color="auto" w:fill="FFE599"/>
          </w:tcPr>
          <w:p w14:paraId="13364522" w14:textId="77777777" w:rsidR="00F34B63" w:rsidRPr="00991B0F" w:rsidRDefault="00102315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551" w:type="dxa"/>
            <w:shd w:val="clear" w:color="auto" w:fill="FFE599"/>
          </w:tcPr>
          <w:p w14:paraId="13364523" w14:textId="507D6409" w:rsidR="00F34B63" w:rsidRPr="00991B0F" w:rsidRDefault="00102315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111" w:type="dxa"/>
            <w:shd w:val="clear" w:color="auto" w:fill="FFE599"/>
          </w:tcPr>
          <w:p w14:paraId="13364524" w14:textId="75737B1E" w:rsidR="00F34B63" w:rsidRPr="00991B0F" w:rsidRDefault="00102315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3" w:type="dxa"/>
            <w:shd w:val="clear" w:color="auto" w:fill="FFE599"/>
          </w:tcPr>
          <w:p w14:paraId="13364525" w14:textId="77777777" w:rsidR="00F34B63" w:rsidRPr="00991B0F" w:rsidRDefault="00102315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F34B63" w:rsidRPr="00991B0F" w14:paraId="13364533" w14:textId="77777777" w:rsidTr="00B80CDB">
        <w:trPr>
          <w:trHeight w:val="457"/>
        </w:trPr>
        <w:tc>
          <w:tcPr>
            <w:tcW w:w="429" w:type="dxa"/>
          </w:tcPr>
          <w:p w14:paraId="13364527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17.</w:t>
            </w:r>
          </w:p>
        </w:tc>
        <w:tc>
          <w:tcPr>
            <w:tcW w:w="984" w:type="dxa"/>
            <w:vAlign w:val="center"/>
          </w:tcPr>
          <w:p w14:paraId="13364528" w14:textId="77777777" w:rsidR="00F34B63" w:rsidRPr="00991B0F" w:rsidRDefault="00102315" w:rsidP="00991B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PROMJENE I ODNOSI; POJEDINAC I DRUŠTVO</w:t>
            </w:r>
          </w:p>
          <w:p w14:paraId="1336452A" w14:textId="479F8791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1336452B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Prostor oko mene – sistematizacija i istraživanje</w:t>
            </w:r>
          </w:p>
          <w:p w14:paraId="1336452C" w14:textId="7C7683D2" w:rsidR="00F34B63" w:rsidRDefault="00102315" w:rsidP="00991B0F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2">
              <w:r w:rsidR="00991B0F" w:rsidRPr="00991B0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9AC1449" w14:textId="77777777" w:rsidR="00B80CDB" w:rsidRPr="00991B0F" w:rsidRDefault="00B80CDB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36452D" w14:textId="1E0ACA06" w:rsidR="00F34B63" w:rsidRPr="00991B0F" w:rsidRDefault="00B80CDB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noProof/>
                <w:sz w:val="16"/>
                <w:szCs w:val="16"/>
              </w:rPr>
              <w:t xml:space="preserve">Nina i Tino 3 – udžbenik prirode i društva (1. dio) str. </w:t>
            </w:r>
            <w:r>
              <w:rPr>
                <w:rFonts w:cstheme="minorHAnsi"/>
                <w:noProof/>
                <w:sz w:val="16"/>
                <w:szCs w:val="16"/>
              </w:rPr>
              <w:t>42 i 43</w:t>
            </w:r>
          </w:p>
        </w:tc>
        <w:tc>
          <w:tcPr>
            <w:tcW w:w="4111" w:type="dxa"/>
          </w:tcPr>
          <w:p w14:paraId="1336452E" w14:textId="19A8B9CB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zak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ljučuje o organiziranosti lokalne zajednice, uspoređuje prikaze različitih prostora.</w:t>
            </w:r>
          </w:p>
          <w:p w14:paraId="1336452F" w14:textId="1354A882" w:rsidR="00F34B63" w:rsidRPr="00991B0F" w:rsidRDefault="00102315" w:rsidP="00991B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B.3.4.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se snalazi u prostoru, tumači plan mjesta i kartu zavičaja, izrađuje plan neposrednoga okružja i zaključuje o povezanosti prostornih obilježja zavičaja i načina života ljudi.</w:t>
            </w:r>
          </w:p>
        </w:tc>
        <w:tc>
          <w:tcPr>
            <w:tcW w:w="1553" w:type="dxa"/>
          </w:tcPr>
          <w:p w14:paraId="13364530" w14:textId="4B098C5F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3364531" w14:textId="058F388D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3364532" w14:textId="254670F3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</w:p>
        </w:tc>
      </w:tr>
    </w:tbl>
    <w:p w14:paraId="13364534" w14:textId="77777777" w:rsidR="00F34B63" w:rsidRPr="00991B0F" w:rsidRDefault="00F34B63" w:rsidP="00991B0F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13364535" w14:textId="77777777" w:rsidR="00F34B63" w:rsidRPr="00991B0F" w:rsidRDefault="00102315" w:rsidP="00991B0F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91B0F">
        <w:rPr>
          <w:rFonts w:asciiTheme="minorHAnsi" w:hAnsiTheme="minorHAnsi" w:cstheme="minorHAnsi"/>
          <w:b/>
          <w:noProof/>
          <w:sz w:val="20"/>
          <w:szCs w:val="20"/>
        </w:rPr>
        <w:t>Tjelesna i zdravstvena kultura</w:t>
      </w:r>
    </w:p>
    <w:tbl>
      <w:tblPr>
        <w:tblStyle w:val="a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603"/>
        <w:gridCol w:w="3402"/>
        <w:gridCol w:w="2120"/>
      </w:tblGrid>
      <w:tr w:rsidR="00F34B63" w:rsidRPr="00991B0F" w14:paraId="1336453A" w14:textId="77777777" w:rsidTr="00991B0F">
        <w:tc>
          <w:tcPr>
            <w:tcW w:w="503" w:type="dxa"/>
            <w:shd w:val="clear" w:color="auto" w:fill="FFE599"/>
          </w:tcPr>
          <w:p w14:paraId="13364536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603" w:type="dxa"/>
            <w:shd w:val="clear" w:color="auto" w:fill="FFE599"/>
            <w:vAlign w:val="center"/>
          </w:tcPr>
          <w:p w14:paraId="13364537" w14:textId="77777777" w:rsidR="00F34B63" w:rsidRPr="00991B0F" w:rsidRDefault="00102315" w:rsidP="00991B0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402" w:type="dxa"/>
            <w:shd w:val="clear" w:color="auto" w:fill="FFE599"/>
          </w:tcPr>
          <w:p w14:paraId="13364538" w14:textId="77777777" w:rsidR="00F34B63" w:rsidRPr="00991B0F" w:rsidRDefault="00102315" w:rsidP="00991B0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120" w:type="dxa"/>
            <w:shd w:val="clear" w:color="auto" w:fill="FFE599"/>
            <w:vAlign w:val="center"/>
          </w:tcPr>
          <w:p w14:paraId="13364539" w14:textId="77777777" w:rsidR="00F34B63" w:rsidRPr="00991B0F" w:rsidRDefault="00102315" w:rsidP="00991B0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F34B63" w:rsidRPr="00991B0F" w14:paraId="13364548" w14:textId="77777777" w:rsidTr="00991B0F">
        <w:tc>
          <w:tcPr>
            <w:tcW w:w="503" w:type="dxa"/>
          </w:tcPr>
          <w:p w14:paraId="1336453B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25.</w:t>
            </w:r>
          </w:p>
        </w:tc>
        <w:tc>
          <w:tcPr>
            <w:tcW w:w="3603" w:type="dxa"/>
          </w:tcPr>
          <w:p w14:paraId="1336453C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1336453D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1336453E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1336453F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D - Zdravstveni i odgojni učinci tjelesnog 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vježbanja</w:t>
            </w:r>
          </w:p>
          <w:p w14:paraId="13364540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3">
              <w:r w:rsidRPr="00991B0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25. sat</w:t>
              </w:r>
            </w:hyperlink>
          </w:p>
        </w:tc>
        <w:tc>
          <w:tcPr>
            <w:tcW w:w="3402" w:type="dxa"/>
          </w:tcPr>
          <w:p w14:paraId="13364541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13364542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Usvajanje motoričkoga znanja</w:t>
            </w:r>
          </w:p>
          <w:p w14:paraId="13364543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1. Kolut naprijed (niz kosinu)</w:t>
            </w:r>
          </w:p>
          <w:p w14:paraId="13364544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2. Skok u vis preko elastične gume do 40 cm</w:t>
            </w:r>
          </w:p>
          <w:p w14:paraId="13364545" w14:textId="77777777" w:rsidR="00F34B63" w:rsidRPr="00991B0F" w:rsidRDefault="00102315" w:rsidP="00991B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3. 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Elementarna igra</w:t>
            </w:r>
          </w:p>
        </w:tc>
        <w:tc>
          <w:tcPr>
            <w:tcW w:w="2120" w:type="dxa"/>
          </w:tcPr>
          <w:p w14:paraId="13364547" w14:textId="1A59070B" w:rsidR="00F34B63" w:rsidRPr="006C3224" w:rsidRDefault="006C3224" w:rsidP="00991B0F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3224">
              <w:rPr>
                <w:sz w:val="16"/>
                <w:szCs w:val="16"/>
              </w:rPr>
              <w:t xml:space="preserve">OŠ TZK A.3.1. </w:t>
            </w:r>
            <w:r w:rsidRPr="006C3224">
              <w:rPr>
                <w:rFonts w:cstheme="minorHAnsi"/>
                <w:sz w:val="16"/>
                <w:szCs w:val="16"/>
              </w:rPr>
              <w:t xml:space="preserve">Učenik uočava i izvodi </w:t>
            </w:r>
            <w:r w:rsidRPr="006C3224">
              <w:rPr>
                <w:sz w:val="16"/>
                <w:szCs w:val="16"/>
              </w:rPr>
              <w:t xml:space="preserve">pravilnu tehniku motoričkih aktivnosti. </w:t>
            </w:r>
          </w:p>
        </w:tc>
      </w:tr>
      <w:tr w:rsidR="00F34B63" w:rsidRPr="00991B0F" w14:paraId="13364556" w14:textId="77777777" w:rsidTr="00991B0F">
        <w:tc>
          <w:tcPr>
            <w:tcW w:w="503" w:type="dxa"/>
          </w:tcPr>
          <w:p w14:paraId="13364549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26.</w:t>
            </w:r>
          </w:p>
        </w:tc>
        <w:tc>
          <w:tcPr>
            <w:tcW w:w="3603" w:type="dxa"/>
          </w:tcPr>
          <w:p w14:paraId="1336454A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1336454B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1336454C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1336454D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D - 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Zdravstveni i odgojni učinci tjelesnog vježbanja</w:t>
            </w:r>
          </w:p>
          <w:p w14:paraId="1336454E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4">
              <w:r w:rsidRPr="00991B0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26. sat</w:t>
              </w:r>
            </w:hyperlink>
          </w:p>
        </w:tc>
        <w:tc>
          <w:tcPr>
            <w:tcW w:w="3402" w:type="dxa"/>
          </w:tcPr>
          <w:p w14:paraId="1336454F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13364550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13364551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1. Kolut naprijed (niz kosinu)</w:t>
            </w:r>
          </w:p>
          <w:p w14:paraId="13364552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POLIGON:</w:t>
            </w:r>
          </w:p>
          <w:p w14:paraId="13364553" w14:textId="77777777" w:rsidR="00F34B63" w:rsidRPr="00991B0F" w:rsidRDefault="00102315" w:rsidP="00991B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2. Skokovi sunožni preko niskih prepreka</w:t>
            </w:r>
          </w:p>
        </w:tc>
        <w:tc>
          <w:tcPr>
            <w:tcW w:w="2120" w:type="dxa"/>
          </w:tcPr>
          <w:p w14:paraId="13364555" w14:textId="424D67E9" w:rsidR="00F34B63" w:rsidRPr="00CB3617" w:rsidRDefault="00CB3617" w:rsidP="00991B0F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B3617">
              <w:rPr>
                <w:sz w:val="16"/>
                <w:szCs w:val="16"/>
              </w:rPr>
              <w:t xml:space="preserve">OŠ TZK A.3.1. Učenik vježba i izvodi aktivnost. </w:t>
            </w:r>
          </w:p>
        </w:tc>
      </w:tr>
    </w:tbl>
    <w:p w14:paraId="13364557" w14:textId="77777777" w:rsidR="00F34B63" w:rsidRPr="00991B0F" w:rsidRDefault="00F34B63" w:rsidP="00991B0F">
      <w:pPr>
        <w:spacing w:line="240" w:lineRule="auto"/>
        <w:rPr>
          <w:rFonts w:asciiTheme="minorHAnsi" w:hAnsiTheme="minorHAnsi" w:cstheme="minorHAnsi"/>
          <w:noProof/>
          <w:sz w:val="16"/>
          <w:szCs w:val="16"/>
        </w:rPr>
      </w:pPr>
    </w:p>
    <w:p w14:paraId="13364558" w14:textId="77777777" w:rsidR="00F34B63" w:rsidRPr="00991B0F" w:rsidRDefault="00102315" w:rsidP="00991B0F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91B0F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b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843"/>
        <w:gridCol w:w="4111"/>
        <w:gridCol w:w="1984"/>
      </w:tblGrid>
      <w:tr w:rsidR="00F34B63" w:rsidRPr="00991B0F" w14:paraId="1336455E" w14:textId="77777777" w:rsidTr="00CB3617">
        <w:tc>
          <w:tcPr>
            <w:tcW w:w="443" w:type="dxa"/>
            <w:shd w:val="clear" w:color="auto" w:fill="FFE599"/>
          </w:tcPr>
          <w:p w14:paraId="13364559" w14:textId="77777777" w:rsidR="00F34B63" w:rsidRPr="00991B0F" w:rsidRDefault="00F34B63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1336455A" w14:textId="77777777" w:rsidR="00F34B63" w:rsidRPr="00991B0F" w:rsidRDefault="00102315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1336455B" w14:textId="77777777" w:rsidR="00F34B63" w:rsidRPr="00991B0F" w:rsidRDefault="00102315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111" w:type="dxa"/>
            <w:shd w:val="clear" w:color="auto" w:fill="FFE599"/>
          </w:tcPr>
          <w:p w14:paraId="1336455C" w14:textId="77777777" w:rsidR="00F34B63" w:rsidRPr="00991B0F" w:rsidRDefault="00102315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84" w:type="dxa"/>
            <w:shd w:val="clear" w:color="auto" w:fill="FFE599"/>
          </w:tcPr>
          <w:p w14:paraId="1336455D" w14:textId="77777777" w:rsidR="00F34B63" w:rsidRPr="00991B0F" w:rsidRDefault="00102315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F34B63" w:rsidRPr="00991B0F" w14:paraId="13364576" w14:textId="77777777" w:rsidTr="00CB3617">
        <w:tc>
          <w:tcPr>
            <w:tcW w:w="443" w:type="dxa"/>
          </w:tcPr>
          <w:p w14:paraId="1336455F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9.</w:t>
            </w:r>
          </w:p>
        </w:tc>
        <w:tc>
          <w:tcPr>
            <w:tcW w:w="1253" w:type="dxa"/>
          </w:tcPr>
          <w:p w14:paraId="13364560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Stvaralaštvo i produktivnost </w:t>
            </w:r>
          </w:p>
          <w:p w14:paraId="13364561" w14:textId="77777777" w:rsidR="00F34B63" w:rsidRPr="00991B0F" w:rsidRDefault="00F34B63" w:rsidP="00991B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</w:p>
          <w:p w14:paraId="13364563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364564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364565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13364566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Svijet oko mene</w:t>
            </w:r>
          </w:p>
          <w:p w14:paraId="13364567" w14:textId="77777777" w:rsidR="00F34B63" w:rsidRPr="00991B0F" w:rsidRDefault="00102315" w:rsidP="00991B0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Slon</w:t>
            </w:r>
          </w:p>
          <w:p w14:paraId="2C3036AC" w14:textId="77777777" w:rsidR="00991B0F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5">
              <w:r w:rsidR="00991B0F" w:rsidRPr="00991B0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3364568" w14:textId="77777777" w:rsidR="00F34B63" w:rsidRPr="00991B0F" w:rsidRDefault="00F34B63" w:rsidP="00991B0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  <w:p w14:paraId="13364569" w14:textId="77777777" w:rsidR="00F34B63" w:rsidRPr="00991B0F" w:rsidRDefault="00F34B63" w:rsidP="00991B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</w:p>
          <w:p w14:paraId="1336456A" w14:textId="77777777" w:rsidR="00F34B63" w:rsidRPr="00991B0F" w:rsidRDefault="00F34B63" w:rsidP="00991B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</w:p>
          <w:p w14:paraId="1336456B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36456C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111" w:type="dxa"/>
          </w:tcPr>
          <w:p w14:paraId="1336456D" w14:textId="4CFCDE1E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</w:p>
          <w:p w14:paraId="1336456E" w14:textId="56AA902E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A.3.2.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demonstrira fine motoričke vještine upotrebom različitih likovnih materijala i postupaka u vlastitom likovnom izražavanju.</w:t>
            </w:r>
          </w:p>
          <w:p w14:paraId="1336456F" w14:textId="4669BC2E" w:rsidR="00F34B63" w:rsidRPr="00991B0F" w:rsidRDefault="00102315" w:rsidP="00991B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B.3.1.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Učenik povezuje likovno i vizualno umjetničko djelo s osobnim doživljajem, likovnim jezikom i tematskim 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sadržajem djela.</w:t>
            </w:r>
          </w:p>
          <w:p w14:paraId="13364570" w14:textId="46A9154F" w:rsidR="00F34B63" w:rsidRPr="00991B0F" w:rsidRDefault="00102315" w:rsidP="00991B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B.3.2.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uspoređuje svoj likovni ili vizualni rad i radove drugih učenika te opisuje vlastiti doživljaj stvaranja.</w:t>
            </w:r>
          </w:p>
        </w:tc>
        <w:tc>
          <w:tcPr>
            <w:tcW w:w="1984" w:type="dxa"/>
          </w:tcPr>
          <w:p w14:paraId="13364571" w14:textId="3D270A79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3364572" w14:textId="1B7B5D67" w:rsidR="00F34B63" w:rsidRPr="00991B0F" w:rsidRDefault="00102315" w:rsidP="00991B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pod -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3364573" w14:textId="0CBD4004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uku -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  <w:p w14:paraId="13364574" w14:textId="69C464B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odr -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3364575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13364577" w14:textId="77777777" w:rsidR="00F34B63" w:rsidRPr="00991B0F" w:rsidRDefault="00F34B63" w:rsidP="00991B0F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13364578" w14:textId="77777777" w:rsidR="00F34B63" w:rsidRPr="00991B0F" w:rsidRDefault="00102315" w:rsidP="00991B0F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91B0F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c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69"/>
        <w:gridCol w:w="2835"/>
        <w:gridCol w:w="2410"/>
        <w:gridCol w:w="2693"/>
      </w:tblGrid>
      <w:tr w:rsidR="00F34B63" w:rsidRPr="00991B0F" w14:paraId="1336457E" w14:textId="77777777" w:rsidTr="00EE497E">
        <w:tc>
          <w:tcPr>
            <w:tcW w:w="427" w:type="dxa"/>
            <w:shd w:val="clear" w:color="auto" w:fill="FFE599"/>
          </w:tcPr>
          <w:p w14:paraId="13364579" w14:textId="77777777" w:rsidR="00F34B63" w:rsidRPr="00991B0F" w:rsidRDefault="00F34B63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/>
          </w:tcPr>
          <w:p w14:paraId="1336457A" w14:textId="77777777" w:rsidR="00F34B63" w:rsidRPr="00991B0F" w:rsidRDefault="00102315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835" w:type="dxa"/>
            <w:shd w:val="clear" w:color="auto" w:fill="FFE599"/>
          </w:tcPr>
          <w:p w14:paraId="1336457B" w14:textId="77777777" w:rsidR="00F34B63" w:rsidRPr="00991B0F" w:rsidRDefault="00102315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2410" w:type="dxa"/>
            <w:shd w:val="clear" w:color="auto" w:fill="FFE599"/>
          </w:tcPr>
          <w:p w14:paraId="1336457C" w14:textId="77777777" w:rsidR="00F34B63" w:rsidRPr="00991B0F" w:rsidRDefault="00102315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693" w:type="dxa"/>
            <w:shd w:val="clear" w:color="auto" w:fill="FFE599"/>
          </w:tcPr>
          <w:p w14:paraId="1336457D" w14:textId="77777777" w:rsidR="00F34B63" w:rsidRPr="00991B0F" w:rsidRDefault="00102315" w:rsidP="00991B0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F34B63" w:rsidRPr="00991B0F" w14:paraId="13364596" w14:textId="77777777" w:rsidTr="00EE497E">
        <w:tc>
          <w:tcPr>
            <w:tcW w:w="427" w:type="dxa"/>
          </w:tcPr>
          <w:p w14:paraId="1336457F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9.</w:t>
            </w:r>
          </w:p>
        </w:tc>
        <w:tc>
          <w:tcPr>
            <w:tcW w:w="1269" w:type="dxa"/>
          </w:tcPr>
          <w:p w14:paraId="13364580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13364581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</w:p>
          <w:p w14:paraId="13364582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13364583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</w:p>
          <w:p w14:paraId="13364585" w14:textId="77777777" w:rsidR="00F34B63" w:rsidRPr="00991B0F" w:rsidRDefault="00F34B63" w:rsidP="00991B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835" w:type="dxa"/>
          </w:tcPr>
          <w:p w14:paraId="114070CB" w14:textId="77777777" w:rsidR="007526CD" w:rsidRDefault="007526CD" w:rsidP="004939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SVIRANJE I POKRET, </w:t>
            </w:r>
          </w:p>
          <w:p w14:paraId="0E9BCFA4" w14:textId="340BD122" w:rsidR="007526CD" w:rsidRPr="00493977" w:rsidRDefault="007526CD" w:rsidP="004939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SLUŠANJE:</w:t>
            </w:r>
            <w:r>
              <w:rPr>
                <w:rFonts w:eastAsia="Calibri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  <w:t>GDJE JE ONAJ CVIJETAK ŽUTI</w:t>
            </w:r>
          </w:p>
          <w:p w14:paraId="4FC9F172" w14:textId="2D3AE94A" w:rsidR="007526CD" w:rsidRPr="00560812" w:rsidRDefault="00102315" w:rsidP="00520B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hAnsiTheme="minorHAnsi" w:cstheme="minorHAnsi"/>
                <w:i/>
                <w:noProof/>
                <w:color w:val="000000"/>
                <w:sz w:val="16"/>
                <w:szCs w:val="16"/>
              </w:rPr>
            </w:pPr>
            <w:hyperlink r:id="rId16">
              <w:r w:rsidR="007526CD" w:rsidRPr="00991B0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3364589" w14:textId="59C5176D" w:rsidR="00F34B63" w:rsidRPr="004D0D19" w:rsidRDefault="004D0D19" w:rsidP="00520BB5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"https://hr.izzi.digital/DOS/47996/47933.html" \l "block-1021974" </w:instrTex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="00CB3617" w:rsidRPr="004D0D19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Zbor</w:t>
            </w:r>
          </w:p>
          <w:p w14:paraId="3E6534B1" w14:textId="25C610D2" w:rsidR="00CB3617" w:rsidRDefault="004D0D19" w:rsidP="00520BB5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hyperlink r:id="rId17" w:anchor="block-1021973" w:history="1">
              <w:r w:rsidR="00CB3617" w:rsidRPr="004D0D1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Matrica</w:t>
              </w:r>
            </w:hyperlink>
          </w:p>
          <w:p w14:paraId="2EFB9314" w14:textId="5760B4FA" w:rsidR="00CB3617" w:rsidRDefault="00102315" w:rsidP="00520BB5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8" w:anchor="block-1022031" w:history="1">
              <w:r w:rsidR="00CB3617" w:rsidRPr="004D0D1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Usporena matrica</w:t>
              </w:r>
            </w:hyperlink>
          </w:p>
          <w:p w14:paraId="107E0640" w14:textId="222B7564" w:rsidR="00CB3617" w:rsidRDefault="00102315" w:rsidP="00520BB5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9" w:history="1">
              <w:r w:rsidR="00520BB5" w:rsidRPr="00EB575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336458A" w14:textId="039B9722" w:rsidR="00F34B63" w:rsidRPr="00520BB5" w:rsidRDefault="007021FC" w:rsidP="00991B0F">
            <w:pPr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Nina i Tino 3 – udžbenik str. 1</w:t>
            </w:r>
            <w:r w:rsidR="00851F02">
              <w:rPr>
                <w:rFonts w:cstheme="minorHAnsi"/>
                <w:bCs/>
                <w:noProof/>
                <w:sz w:val="16"/>
                <w:szCs w:val="16"/>
              </w:rPr>
              <w:t>4</w:t>
            </w: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i 1</w:t>
            </w:r>
            <w:r w:rsidR="00851F02">
              <w:rPr>
                <w:rFonts w:cstheme="minorHAnsi"/>
                <w:bCs/>
                <w:noProof/>
                <w:sz w:val="16"/>
                <w:szCs w:val="16"/>
              </w:rPr>
              <w:t>5</w:t>
            </w:r>
          </w:p>
        </w:tc>
        <w:tc>
          <w:tcPr>
            <w:tcW w:w="2410" w:type="dxa"/>
          </w:tcPr>
          <w:p w14:paraId="1336458B" w14:textId="3B220BB4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B.3.1.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1336458C" w14:textId="193698E4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B.3.2.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1336458D" w14:textId="43ECD4E3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B.3.4.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stvara/improvizira melodijske i ritamske cjeline te svira uz pjesme/brojalice koje izvodi.</w:t>
            </w:r>
          </w:p>
          <w:p w14:paraId="1336458E" w14:textId="77777777" w:rsidR="00F34B63" w:rsidRPr="00991B0F" w:rsidRDefault="00F34B63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693" w:type="dxa"/>
          </w:tcPr>
          <w:p w14:paraId="1336458F" w14:textId="6CD1AE9E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A.3.5.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3364590" w14:textId="74B7E285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–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A.3.2.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B.3.2.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B.3.3.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C.3.1.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; A.B.C.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D.3.1.</w:t>
            </w:r>
          </w:p>
          <w:p w14:paraId="13364591" w14:textId="07A9C63A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-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B.2.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3;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C.2.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1.;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  <w:p w14:paraId="13364592" w14:textId="321D2ED8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13364593" w14:textId="1F7F0985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-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</w:p>
          <w:p w14:paraId="13364594" w14:textId="08C4D1A1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</w:p>
          <w:p w14:paraId="13364595" w14:textId="7C5A5482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-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</w:p>
        </w:tc>
      </w:tr>
    </w:tbl>
    <w:p w14:paraId="13364597" w14:textId="77777777" w:rsidR="00F34B63" w:rsidRPr="00991B0F" w:rsidRDefault="00F34B63" w:rsidP="00991B0F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13364598" w14:textId="77777777" w:rsidR="00F34B63" w:rsidRPr="00991B0F" w:rsidRDefault="00102315" w:rsidP="00991B0F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91B0F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d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0"/>
        <w:gridCol w:w="3646"/>
        <w:gridCol w:w="4111"/>
        <w:gridCol w:w="1411"/>
      </w:tblGrid>
      <w:tr w:rsidR="00F34B63" w:rsidRPr="00991B0F" w14:paraId="1336459D" w14:textId="77777777" w:rsidTr="00991B0F">
        <w:tc>
          <w:tcPr>
            <w:tcW w:w="460" w:type="dxa"/>
            <w:shd w:val="clear" w:color="auto" w:fill="FFE599"/>
          </w:tcPr>
          <w:p w14:paraId="13364599" w14:textId="77777777" w:rsidR="00F34B63" w:rsidRPr="00991B0F" w:rsidRDefault="00F34B63" w:rsidP="00991B0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3646" w:type="dxa"/>
            <w:shd w:val="clear" w:color="auto" w:fill="FFE599"/>
          </w:tcPr>
          <w:p w14:paraId="1336459A" w14:textId="77777777" w:rsidR="00F34B63" w:rsidRPr="00991B0F" w:rsidRDefault="00102315" w:rsidP="00991B0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4111" w:type="dxa"/>
            <w:shd w:val="clear" w:color="auto" w:fill="FFE599"/>
          </w:tcPr>
          <w:p w14:paraId="1336459B" w14:textId="77777777" w:rsidR="00F34B63" w:rsidRPr="00991B0F" w:rsidRDefault="00102315" w:rsidP="00991B0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ISHODI </w:t>
            </w: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1411" w:type="dxa"/>
            <w:shd w:val="clear" w:color="auto" w:fill="FFE599"/>
          </w:tcPr>
          <w:p w14:paraId="1336459C" w14:textId="77777777" w:rsidR="00F34B63" w:rsidRPr="00991B0F" w:rsidRDefault="00102315" w:rsidP="00991B0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F34B63" w:rsidRPr="00991B0F" w14:paraId="133645A3" w14:textId="77777777" w:rsidTr="00991B0F">
        <w:tc>
          <w:tcPr>
            <w:tcW w:w="460" w:type="dxa"/>
          </w:tcPr>
          <w:p w14:paraId="1336459E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9.</w:t>
            </w:r>
          </w:p>
        </w:tc>
        <w:tc>
          <w:tcPr>
            <w:tcW w:w="3646" w:type="dxa"/>
          </w:tcPr>
          <w:p w14:paraId="1336459F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>Tjelesna aktivnost – Jednostavna motorička gibanja</w:t>
            </w:r>
          </w:p>
          <w:p w14:paraId="133645A0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0">
              <w:r w:rsidRPr="00991B0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Tjelesna aktivnost – Jednostavna motorička gibanja</w:t>
              </w:r>
            </w:hyperlink>
          </w:p>
        </w:tc>
        <w:tc>
          <w:tcPr>
            <w:tcW w:w="4111" w:type="dxa"/>
          </w:tcPr>
          <w:p w14:paraId="133645A1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zdr A.2.2.B Primjenjuje pravilnu tjelesnu aktivnost </w:t>
            </w: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sukladno svojim sposobnostima, afinitetima i zdravstvenom stanju; B.2.3.A Opisuje zdrave životne navike.</w:t>
            </w:r>
          </w:p>
        </w:tc>
        <w:tc>
          <w:tcPr>
            <w:tcW w:w="1411" w:type="dxa"/>
          </w:tcPr>
          <w:p w14:paraId="133645A2" w14:textId="77777777" w:rsidR="00F34B63" w:rsidRPr="00991B0F" w:rsidRDefault="00102315" w:rsidP="00991B0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1B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TZK – jednostavna motorička gibanja</w:t>
            </w:r>
            <w:r w:rsidRPr="00991B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</w:tr>
    </w:tbl>
    <w:p w14:paraId="133645A5" w14:textId="77777777" w:rsidR="00F34B63" w:rsidRPr="00991B0F" w:rsidRDefault="00F34B63" w:rsidP="00991B0F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F34B63" w:rsidRPr="00991B0F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B63"/>
    <w:rsid w:val="000D15E6"/>
    <w:rsid w:val="00102315"/>
    <w:rsid w:val="002034C0"/>
    <w:rsid w:val="0023591E"/>
    <w:rsid w:val="002B019D"/>
    <w:rsid w:val="00360629"/>
    <w:rsid w:val="00493977"/>
    <w:rsid w:val="004D0D19"/>
    <w:rsid w:val="00520BB5"/>
    <w:rsid w:val="00560812"/>
    <w:rsid w:val="0057659F"/>
    <w:rsid w:val="005A6793"/>
    <w:rsid w:val="006C3224"/>
    <w:rsid w:val="007021FC"/>
    <w:rsid w:val="007526CD"/>
    <w:rsid w:val="00851F02"/>
    <w:rsid w:val="008967D9"/>
    <w:rsid w:val="00991B0F"/>
    <w:rsid w:val="00B80CDB"/>
    <w:rsid w:val="00C36198"/>
    <w:rsid w:val="00CA6519"/>
    <w:rsid w:val="00CB3617"/>
    <w:rsid w:val="00D503DB"/>
    <w:rsid w:val="00DF495E"/>
    <w:rsid w:val="00EB5758"/>
    <w:rsid w:val="00EE497E"/>
    <w:rsid w:val="00F3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644A0"/>
  <w15:docId w15:val="{723244A7-FFB3-4F1B-84D1-21603343B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A2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991B0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91B0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l-klett.hr/sites/default/files/metodicki-kutak/33._priprema_-_zbrajanje_i_oduzimanje_troznamenkastog_i_jednoznamenkastog_broja_piv.docx" TargetMode="External"/><Relationship Id="rId13" Type="http://schemas.openxmlformats.org/officeDocument/2006/relationships/hyperlink" Target="https://www.profil-klett.hr/sites/default/files/metodicki-kutak/25._sat_tzk_1.docx" TargetMode="External"/><Relationship Id="rId18" Type="http://schemas.openxmlformats.org/officeDocument/2006/relationships/hyperlink" Target="https://hr.izzi.digital/DOS/47996/47933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profil-klett.hr/sites/default/files/metodicki-kutak/43._razmisljam_i_pisem_sve_sto_znam.docx" TargetMode="External"/><Relationship Id="rId12" Type="http://schemas.openxmlformats.org/officeDocument/2006/relationships/hyperlink" Target="https://www.profil-klett.hr/sites/default/files/metodicki-kutak/17._pid_prostor_oko_mene_-_sistematizacija_i_istrazivanje.docx" TargetMode="External"/><Relationship Id="rId17" Type="http://schemas.openxmlformats.org/officeDocument/2006/relationships/hyperlink" Target="https://hr.izzi.digital/DOS/47996/47933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9._pjevanje_-_gdje_je_onaj_cvijetak_zuti_slusanje_-_badinerie.docx" TargetMode="External"/><Relationship Id="rId20" Type="http://schemas.openxmlformats.org/officeDocument/2006/relationships/hyperlink" Target="https://www.profil-klett.hr/sites/default/files/metodicki-kutak/9_tjelesna_aktivnost_jednostavna_motoricka_gibanja_0.do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11" Type="http://schemas.openxmlformats.org/officeDocument/2006/relationships/hyperlink" Target="https://www.profil-klett.hr/sites/default/files/metodicki-kutak/nina_i_tino_-_matematika_3_kriteriji_vrednovanja.docx" TargetMode="External"/><Relationship Id="rId5" Type="http://schemas.openxmlformats.org/officeDocument/2006/relationships/hyperlink" Target="https://hr.izzi.digital/DOS/4218/13506.html" TargetMode="External"/><Relationship Id="rId15" Type="http://schemas.openxmlformats.org/officeDocument/2006/relationships/hyperlink" Target="https://www.profil-klett.hr/sites/default/files/metodicki-kutak/9._masa_i_prostor_-_slon.docx" TargetMode="External"/><Relationship Id="rId10" Type="http://schemas.openxmlformats.org/officeDocument/2006/relationships/hyperlink" Target="https://www.profil-klett.hr/sites/default/files/metodicki-kutak/35._priprema_-_analiza_pisane_provjere_znanja.docx" TargetMode="External"/><Relationship Id="rId19" Type="http://schemas.openxmlformats.org/officeDocument/2006/relationships/hyperlink" Target="https://hr.izzi.digital/DOS/47996/5346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fil-klett.hr/sites/default/files/metodicki-kutak/nina_i_tino_-_matematika_3_kriteriji_vrednovanja.docx" TargetMode="External"/><Relationship Id="rId14" Type="http://schemas.openxmlformats.org/officeDocument/2006/relationships/hyperlink" Target="https://www.profil-klett.hr/sites/default/files/metodicki-kutak/26._sat_tzk_1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UxOa32Z7YaUR1lZmQVEn6SRvhQ==">AMUW2mXuf5iawLFJeQzpVqFEbIyQ0MNW/yiAUGTUruRHDV9+XA+QdoYlMGnOwWGmi6Y5jkbe+MUE7G85H14YiRF9r+na0MS3hCHVAYu05F+XpRWJR5X9AFpJ8Do6/DRH/BgOFdcGPnGu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1471</Words>
  <Characters>8390</Characters>
  <Application>Microsoft Office Word</Application>
  <DocSecurity>0</DocSecurity>
  <Lines>69</Lines>
  <Paragraphs>19</Paragraphs>
  <ScaleCrop>false</ScaleCrop>
  <Company/>
  <LinksUpToDate>false</LinksUpToDate>
  <CharactersWithSpaces>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27</cp:revision>
  <dcterms:created xsi:type="dcterms:W3CDTF">2021-07-05T19:18:00Z</dcterms:created>
  <dcterms:modified xsi:type="dcterms:W3CDTF">2022-08-24T11:11:00Z</dcterms:modified>
</cp:coreProperties>
</file>